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99" w:rsidRDefault="00D44699">
      <w:r>
        <w:rPr>
          <w:noProof/>
          <w:lang w:eastAsia="en-GB"/>
        </w:rPr>
        <w:drawing>
          <wp:anchor distT="0" distB="0" distL="114300" distR="114300" simplePos="0" relativeHeight="251658240" behindDoc="0" locked="0" layoutInCell="1" allowOverlap="1">
            <wp:simplePos x="0" y="0"/>
            <wp:positionH relativeFrom="column">
              <wp:posOffset>5562600</wp:posOffset>
            </wp:positionH>
            <wp:positionV relativeFrom="paragraph">
              <wp:posOffset>-704850</wp:posOffset>
            </wp:positionV>
            <wp:extent cx="831215" cy="809625"/>
            <wp:effectExtent l="19050" t="0" r="698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31215" cy="809625"/>
                    </a:xfrm>
                    <a:prstGeom prst="rect">
                      <a:avLst/>
                    </a:prstGeom>
                    <a:noFill/>
                    <a:ln w="3175" algn="in">
                      <a:miter lim="800000"/>
                      <a:headEnd/>
                      <a:tailEnd/>
                    </a:ln>
                  </pic:spPr>
                </pic:pic>
              </a:graphicData>
            </a:graphic>
          </wp:anchor>
        </w:drawing>
      </w:r>
    </w:p>
    <w:tbl>
      <w:tblPr>
        <w:tblStyle w:val="TableGrid"/>
        <w:tblW w:w="0" w:type="auto"/>
        <w:tblLook w:val="04A0"/>
      </w:tblPr>
      <w:tblGrid>
        <w:gridCol w:w="8755"/>
      </w:tblGrid>
      <w:tr w:rsidR="00D44699" w:rsidTr="00D44699">
        <w:tc>
          <w:tcPr>
            <w:tcW w:w="8755" w:type="dxa"/>
          </w:tcPr>
          <w:p w:rsidR="00D44699" w:rsidRPr="00D44699" w:rsidRDefault="00D44699" w:rsidP="00D567A7">
            <w:r w:rsidRPr="00D44699">
              <w:rPr>
                <w:b/>
              </w:rPr>
              <w:t xml:space="preserve">Position </w:t>
            </w:r>
            <w:r>
              <w:rPr>
                <w:b/>
              </w:rPr>
              <w:t xml:space="preserve">:           </w:t>
            </w:r>
            <w:r w:rsidR="00D567A7">
              <w:t>Support Worker</w:t>
            </w:r>
          </w:p>
        </w:tc>
      </w:tr>
      <w:tr w:rsidR="00D44699" w:rsidTr="00D44699">
        <w:tc>
          <w:tcPr>
            <w:tcW w:w="8755" w:type="dxa"/>
          </w:tcPr>
          <w:p w:rsidR="00D44699" w:rsidRPr="00D44699" w:rsidRDefault="00D44699">
            <w:r>
              <w:rPr>
                <w:b/>
              </w:rPr>
              <w:t xml:space="preserve">Department:    </w:t>
            </w:r>
            <w:r>
              <w:t>Operations</w:t>
            </w:r>
          </w:p>
        </w:tc>
      </w:tr>
      <w:tr w:rsidR="00D44699" w:rsidTr="00D44699">
        <w:tc>
          <w:tcPr>
            <w:tcW w:w="8755" w:type="dxa"/>
          </w:tcPr>
          <w:p w:rsidR="00D44699" w:rsidRPr="00D44699" w:rsidRDefault="00D44699" w:rsidP="002C488E">
            <w:r>
              <w:rPr>
                <w:b/>
              </w:rPr>
              <w:t xml:space="preserve">Reports to:       </w:t>
            </w:r>
            <w:r w:rsidR="002C488E">
              <w:t xml:space="preserve">Unit Manager </w:t>
            </w:r>
          </w:p>
        </w:tc>
      </w:tr>
      <w:tr w:rsidR="00D44699" w:rsidTr="00D44699">
        <w:tc>
          <w:tcPr>
            <w:tcW w:w="8755" w:type="dxa"/>
          </w:tcPr>
          <w:p w:rsidR="00D44699" w:rsidRPr="00D44699" w:rsidRDefault="00D44699">
            <w:r>
              <w:rPr>
                <w:b/>
              </w:rPr>
              <w:t>Location/Site:</w:t>
            </w:r>
            <w:r>
              <w:t xml:space="preserve">  </w:t>
            </w:r>
          </w:p>
        </w:tc>
      </w:tr>
      <w:tr w:rsidR="00D44699" w:rsidTr="00D44699">
        <w:tc>
          <w:tcPr>
            <w:tcW w:w="8755" w:type="dxa"/>
          </w:tcPr>
          <w:p w:rsidR="00D44699" w:rsidRDefault="00D44699">
            <w:pPr>
              <w:rPr>
                <w:b/>
              </w:rPr>
            </w:pPr>
            <w:r>
              <w:rPr>
                <w:b/>
              </w:rPr>
              <w:t xml:space="preserve">Overall Responsibility:  </w:t>
            </w:r>
          </w:p>
          <w:p w:rsidR="00D44699" w:rsidRPr="00075F26" w:rsidRDefault="00075F26" w:rsidP="0073447D">
            <w:pPr>
              <w:jc w:val="both"/>
              <w:rPr>
                <w:rFonts w:ascii="Calibri" w:hAnsi="Calibri" w:cs="Calibri"/>
              </w:rPr>
            </w:pPr>
            <w:r w:rsidRPr="001577FD">
              <w:rPr>
                <w:rFonts w:ascii="Calibri" w:hAnsi="Calibri" w:cs="Calibri"/>
              </w:rPr>
              <w:t xml:space="preserve">To deliver a supported living package based upon structured key work sessions to vulnerable young people aged 16 – 18.  These sessions will aim to promote the life skills of young people and support </w:t>
            </w:r>
            <w:r w:rsidR="0073447D">
              <w:rPr>
                <w:rFonts w:ascii="Calibri" w:hAnsi="Calibri" w:cs="Calibri"/>
              </w:rPr>
              <w:t>their transition into adul</w:t>
            </w:r>
            <w:r w:rsidR="00FF5AB2">
              <w:rPr>
                <w:rFonts w:ascii="Calibri" w:hAnsi="Calibri" w:cs="Calibri"/>
              </w:rPr>
              <w:t>thood; helping them to develop</w:t>
            </w:r>
            <w:r w:rsidR="0073447D" w:rsidRPr="00C05557">
              <w:rPr>
                <w:rFonts w:ascii="Calibri" w:hAnsi="Calibri" w:cs="Calibri"/>
              </w:rPr>
              <w:t xml:space="preserve"> the necessary skills and knowledge to enable them to safely live independently. </w:t>
            </w:r>
          </w:p>
        </w:tc>
      </w:tr>
      <w:tr w:rsidR="00D44699" w:rsidTr="00D44699">
        <w:tc>
          <w:tcPr>
            <w:tcW w:w="8755" w:type="dxa"/>
          </w:tcPr>
          <w:p w:rsidR="00075F26" w:rsidRDefault="00D44699" w:rsidP="00075F26">
            <w:pPr>
              <w:rPr>
                <w:b/>
              </w:rPr>
            </w:pPr>
            <w:r>
              <w:rPr>
                <w:b/>
              </w:rPr>
              <w:t>Key Areas of Responsibility:</w:t>
            </w:r>
          </w:p>
          <w:p w:rsidR="00075F26" w:rsidRDefault="00075F26" w:rsidP="00075F26">
            <w:pPr>
              <w:rPr>
                <w:b/>
              </w:rPr>
            </w:pPr>
          </w:p>
          <w:p w:rsidR="00075F26" w:rsidRDefault="00075F26" w:rsidP="00075F26">
            <w:pPr>
              <w:jc w:val="both"/>
              <w:rPr>
                <w:rFonts w:ascii="Calibri" w:hAnsi="Calibri" w:cs="Calibri"/>
              </w:rPr>
            </w:pPr>
            <w:r w:rsidRPr="001577FD">
              <w:rPr>
                <w:rFonts w:ascii="Calibri" w:hAnsi="Calibri" w:cs="Calibri"/>
              </w:rPr>
              <w:t>Manage a caseload of between 3 – 5 young people living semi-independently in the community; you will be responsible for structuring key work sessions consistent with an independent placement agreement.</w:t>
            </w:r>
          </w:p>
          <w:p w:rsidR="00075F26" w:rsidRDefault="00075F26" w:rsidP="00075F26">
            <w:pPr>
              <w:jc w:val="both"/>
              <w:rPr>
                <w:rFonts w:ascii="Calibri" w:hAnsi="Calibri" w:cs="Calibri"/>
              </w:rPr>
            </w:pPr>
          </w:p>
          <w:p w:rsidR="00075F26" w:rsidRDefault="00075F26" w:rsidP="00075F26">
            <w:pPr>
              <w:jc w:val="both"/>
              <w:rPr>
                <w:rFonts w:ascii="Calibri" w:hAnsi="Calibri" w:cs="Calibri"/>
              </w:rPr>
            </w:pPr>
            <w:r w:rsidRPr="001577FD">
              <w:rPr>
                <w:rFonts w:ascii="Calibri" w:hAnsi="Calibri" w:cs="Calibri"/>
              </w:rPr>
              <w:t xml:space="preserve">Work with </w:t>
            </w:r>
            <w:r>
              <w:rPr>
                <w:rFonts w:ascii="Calibri" w:hAnsi="Calibri" w:cs="Calibri"/>
              </w:rPr>
              <w:t>the Senior Support Worker, Unit Manager</w:t>
            </w:r>
            <w:r w:rsidRPr="001577FD">
              <w:rPr>
                <w:rFonts w:ascii="Calibri" w:hAnsi="Calibri" w:cs="Calibri"/>
              </w:rPr>
              <w:t xml:space="preserve"> and young people to develop a structured programme of key work sessions based upon the young person’s individual needs and focussed on developing their self reliance and esteem.</w:t>
            </w:r>
          </w:p>
          <w:p w:rsidR="00075F26" w:rsidRDefault="00075F26" w:rsidP="00075F26">
            <w:pPr>
              <w:jc w:val="both"/>
              <w:rPr>
                <w:rFonts w:ascii="Calibri" w:hAnsi="Calibri" w:cs="Calibri"/>
              </w:rPr>
            </w:pPr>
          </w:p>
          <w:p w:rsidR="00075F26" w:rsidRDefault="00075F26" w:rsidP="00075F26">
            <w:pPr>
              <w:jc w:val="both"/>
              <w:rPr>
                <w:rFonts w:ascii="Calibri" w:hAnsi="Calibri" w:cs="Calibri"/>
              </w:rPr>
            </w:pPr>
            <w:r w:rsidRPr="001577FD">
              <w:rPr>
                <w:rFonts w:ascii="Calibri" w:hAnsi="Calibri" w:cs="Calibri"/>
              </w:rPr>
              <w:t xml:space="preserve">Monitor the young person’s ability to engage with </w:t>
            </w:r>
            <w:proofErr w:type="spellStart"/>
            <w:r w:rsidRPr="001577FD">
              <w:rPr>
                <w:rFonts w:ascii="Calibri" w:hAnsi="Calibri" w:cs="Calibri"/>
              </w:rPr>
              <w:t>every day</w:t>
            </w:r>
            <w:proofErr w:type="spellEnd"/>
            <w:r w:rsidRPr="001577FD">
              <w:rPr>
                <w:rFonts w:ascii="Calibri" w:hAnsi="Calibri" w:cs="Calibri"/>
              </w:rPr>
              <w:t xml:space="preserve"> living and develop skills where necessary.</w:t>
            </w:r>
          </w:p>
          <w:p w:rsidR="00075F26" w:rsidRDefault="00075F26" w:rsidP="00075F26">
            <w:pPr>
              <w:jc w:val="both"/>
              <w:rPr>
                <w:rFonts w:ascii="Calibri" w:hAnsi="Calibri" w:cs="Calibri"/>
              </w:rPr>
            </w:pPr>
          </w:p>
          <w:p w:rsidR="00075F26" w:rsidRDefault="00075F26" w:rsidP="00075F26">
            <w:pPr>
              <w:jc w:val="both"/>
              <w:rPr>
                <w:rFonts w:ascii="Calibri" w:hAnsi="Calibri" w:cs="Calibri"/>
              </w:rPr>
            </w:pPr>
            <w:r w:rsidRPr="001577FD">
              <w:rPr>
                <w:rFonts w:ascii="Calibri" w:hAnsi="Calibri" w:cs="Calibri"/>
              </w:rPr>
              <w:t>Promote safe, consistent and understandable boundaries with yo</w:t>
            </w:r>
            <w:r>
              <w:rPr>
                <w:rFonts w:ascii="Calibri" w:hAnsi="Calibri" w:cs="Calibri"/>
              </w:rPr>
              <w:t>ung people in conjunction with the</w:t>
            </w:r>
            <w:r w:rsidRPr="001577FD">
              <w:rPr>
                <w:rFonts w:ascii="Calibri" w:hAnsi="Calibri" w:cs="Calibri"/>
              </w:rPr>
              <w:t xml:space="preserve"> ‘Young Person’s Agreement’.</w:t>
            </w:r>
          </w:p>
          <w:p w:rsidR="00075F26" w:rsidRDefault="00075F26" w:rsidP="00075F26">
            <w:pPr>
              <w:jc w:val="both"/>
              <w:rPr>
                <w:rFonts w:ascii="Calibri" w:hAnsi="Calibri" w:cs="Calibri"/>
              </w:rPr>
            </w:pPr>
          </w:p>
          <w:p w:rsidR="00075F26" w:rsidRDefault="00075F26" w:rsidP="00075F26">
            <w:pPr>
              <w:jc w:val="both"/>
              <w:rPr>
                <w:rFonts w:ascii="Calibri" w:hAnsi="Calibri" w:cs="Calibri"/>
              </w:rPr>
            </w:pPr>
            <w:r w:rsidRPr="001577FD">
              <w:rPr>
                <w:rFonts w:ascii="Calibri" w:hAnsi="Calibri" w:cs="Calibri"/>
              </w:rPr>
              <w:t>Encourage young person to access education, training or employment supporting any application process.</w:t>
            </w:r>
          </w:p>
          <w:p w:rsidR="00075F26" w:rsidRDefault="00075F26" w:rsidP="00075F26">
            <w:pPr>
              <w:jc w:val="both"/>
              <w:rPr>
                <w:rFonts w:ascii="Calibri" w:hAnsi="Calibri" w:cs="Calibri"/>
              </w:rPr>
            </w:pPr>
          </w:p>
          <w:p w:rsidR="00075F26" w:rsidRDefault="00075F26" w:rsidP="00075F26">
            <w:pPr>
              <w:jc w:val="both"/>
              <w:rPr>
                <w:rFonts w:ascii="Calibri" w:hAnsi="Calibri" w:cs="Calibri"/>
              </w:rPr>
            </w:pPr>
            <w:r w:rsidRPr="001577FD">
              <w:rPr>
                <w:rFonts w:ascii="Calibri" w:hAnsi="Calibri" w:cs="Calibri"/>
              </w:rPr>
              <w:t>Encourage the young person to take an active part in the local community, building relationships and maintaining social networks.</w:t>
            </w:r>
          </w:p>
          <w:p w:rsidR="00075F26" w:rsidRDefault="00075F26" w:rsidP="00075F26">
            <w:pPr>
              <w:jc w:val="both"/>
              <w:rPr>
                <w:rFonts w:ascii="Calibri" w:hAnsi="Calibri" w:cs="Calibri"/>
              </w:rPr>
            </w:pPr>
          </w:p>
          <w:p w:rsidR="00075F26" w:rsidRDefault="00075F26" w:rsidP="00075F26">
            <w:pPr>
              <w:jc w:val="both"/>
              <w:rPr>
                <w:rFonts w:ascii="Calibri" w:hAnsi="Calibri" w:cs="Calibri"/>
              </w:rPr>
            </w:pPr>
            <w:r w:rsidRPr="001577FD">
              <w:rPr>
                <w:rFonts w:ascii="Calibri" w:hAnsi="Calibri" w:cs="Calibri"/>
              </w:rPr>
              <w:t xml:space="preserve">Prepare </w:t>
            </w:r>
            <w:r>
              <w:rPr>
                <w:rFonts w:ascii="Calibri" w:hAnsi="Calibri" w:cs="Calibri"/>
              </w:rPr>
              <w:t>key working</w:t>
            </w:r>
            <w:r w:rsidRPr="001577FD">
              <w:rPr>
                <w:rFonts w:ascii="Calibri" w:hAnsi="Calibri" w:cs="Calibri"/>
              </w:rPr>
              <w:t xml:space="preserve"> reports regarding each young person’s progress, these reports must be completed to a high standard for submission to the placing authority.</w:t>
            </w:r>
          </w:p>
          <w:p w:rsidR="00075F26" w:rsidRDefault="00075F26" w:rsidP="00075F26">
            <w:pPr>
              <w:jc w:val="both"/>
              <w:rPr>
                <w:rFonts w:ascii="Calibri" w:hAnsi="Calibri" w:cs="Calibri"/>
              </w:rPr>
            </w:pPr>
          </w:p>
          <w:p w:rsidR="00075F26" w:rsidRDefault="00075F26" w:rsidP="00075F26">
            <w:pPr>
              <w:jc w:val="both"/>
              <w:rPr>
                <w:rFonts w:ascii="Calibri" w:hAnsi="Calibri" w:cs="Calibri"/>
              </w:rPr>
            </w:pPr>
            <w:r w:rsidRPr="001577FD">
              <w:rPr>
                <w:rFonts w:ascii="Calibri" w:hAnsi="Calibri" w:cs="Calibri"/>
              </w:rPr>
              <w:t>Work in partnership with other agencies and support the young people to attend meetings wi</w:t>
            </w:r>
            <w:r>
              <w:rPr>
                <w:rFonts w:ascii="Calibri" w:hAnsi="Calibri" w:cs="Calibri"/>
              </w:rPr>
              <w:t>th other professionals.  You may</w:t>
            </w:r>
            <w:r w:rsidRPr="001577FD">
              <w:rPr>
                <w:rFonts w:ascii="Calibri" w:hAnsi="Calibri" w:cs="Calibri"/>
              </w:rPr>
              <w:t xml:space="preserve"> be required to attend admission and planning meetings; and attend LAC reviews ensuring all relevant paperwork is complete.</w:t>
            </w:r>
          </w:p>
          <w:p w:rsidR="00075F26" w:rsidRDefault="00075F26" w:rsidP="00075F26">
            <w:pPr>
              <w:jc w:val="both"/>
              <w:rPr>
                <w:rFonts w:ascii="Calibri" w:hAnsi="Calibri" w:cs="Calibri"/>
              </w:rPr>
            </w:pPr>
          </w:p>
          <w:p w:rsidR="00075F26" w:rsidRDefault="00075F26" w:rsidP="00075F26">
            <w:pPr>
              <w:jc w:val="both"/>
              <w:rPr>
                <w:rFonts w:ascii="Calibri" w:hAnsi="Calibri" w:cs="Calibri"/>
              </w:rPr>
            </w:pPr>
            <w:r w:rsidRPr="001577FD">
              <w:rPr>
                <w:rFonts w:ascii="Calibri" w:hAnsi="Calibri" w:cs="Calibri"/>
              </w:rPr>
              <w:t xml:space="preserve">Maintain confidentiality for young people and report any concerns regarding young person’s welfare to the </w:t>
            </w:r>
            <w:r>
              <w:rPr>
                <w:rFonts w:ascii="Calibri" w:hAnsi="Calibri" w:cs="Calibri"/>
              </w:rPr>
              <w:t>Unit Manager and/or the Safeguarding Lead.</w:t>
            </w:r>
          </w:p>
          <w:p w:rsidR="00075F26" w:rsidRDefault="00075F26" w:rsidP="00075F26">
            <w:pPr>
              <w:jc w:val="both"/>
              <w:rPr>
                <w:rFonts w:ascii="Calibri" w:hAnsi="Calibri" w:cs="Calibri"/>
              </w:rPr>
            </w:pPr>
          </w:p>
          <w:p w:rsidR="00075F26" w:rsidRDefault="00075F26" w:rsidP="00075F26">
            <w:pPr>
              <w:jc w:val="both"/>
              <w:rPr>
                <w:rFonts w:ascii="Calibri" w:hAnsi="Calibri" w:cs="Calibri"/>
              </w:rPr>
            </w:pPr>
            <w:r w:rsidRPr="001577FD">
              <w:rPr>
                <w:rFonts w:ascii="Calibri" w:hAnsi="Calibri" w:cs="Calibri"/>
              </w:rPr>
              <w:t>Attend staff meetings and training sessions as and when required.</w:t>
            </w:r>
          </w:p>
          <w:p w:rsidR="00075F26" w:rsidRDefault="00075F26" w:rsidP="00075F26">
            <w:pPr>
              <w:jc w:val="both"/>
              <w:rPr>
                <w:rFonts w:ascii="Calibri" w:hAnsi="Calibri" w:cs="Calibri"/>
              </w:rPr>
            </w:pPr>
          </w:p>
          <w:p w:rsidR="00075F26" w:rsidRDefault="00075F26" w:rsidP="00075F26">
            <w:pPr>
              <w:jc w:val="both"/>
              <w:rPr>
                <w:rFonts w:ascii="Calibri" w:hAnsi="Calibri" w:cs="Calibri"/>
              </w:rPr>
            </w:pPr>
            <w:r w:rsidRPr="001577FD">
              <w:rPr>
                <w:rFonts w:ascii="Calibri" w:hAnsi="Calibri" w:cs="Calibri"/>
              </w:rPr>
              <w:t xml:space="preserve">You will be expected to take part in structured supervision sessions </w:t>
            </w:r>
            <w:r>
              <w:rPr>
                <w:rFonts w:ascii="Calibri" w:hAnsi="Calibri" w:cs="Calibri"/>
              </w:rPr>
              <w:t>every quarter.</w:t>
            </w:r>
          </w:p>
          <w:p w:rsidR="00ED7319" w:rsidRDefault="00ED7319" w:rsidP="00ED7319">
            <w:pPr>
              <w:jc w:val="both"/>
            </w:pPr>
          </w:p>
          <w:p w:rsidR="00ED7319" w:rsidRDefault="00ED7319" w:rsidP="00ED7319">
            <w:pPr>
              <w:jc w:val="both"/>
            </w:pPr>
            <w:r>
              <w:t xml:space="preserve">The post holder must be flexible and willing to provide a service outside of normal office hours.  You will be expected to work some evening and weekend shifts as required.  </w:t>
            </w:r>
          </w:p>
          <w:p w:rsidR="00ED7319" w:rsidRDefault="00ED7319" w:rsidP="00ED7319">
            <w:pPr>
              <w:jc w:val="both"/>
            </w:pPr>
          </w:p>
          <w:p w:rsidR="00ED7319" w:rsidRDefault="00ED7319" w:rsidP="00ED7319">
            <w:pPr>
              <w:jc w:val="both"/>
            </w:pPr>
            <w:r>
              <w:t xml:space="preserve">To undertake any other appropriate duties as directed by TPC .  </w:t>
            </w:r>
          </w:p>
          <w:p w:rsidR="00ED7319" w:rsidRDefault="00ED7319" w:rsidP="00ED7319">
            <w:pPr>
              <w:jc w:val="both"/>
            </w:pPr>
          </w:p>
          <w:p w:rsidR="00D44699" w:rsidRDefault="00ED7319" w:rsidP="00ED7319">
            <w:pPr>
              <w:jc w:val="both"/>
              <w:rPr>
                <w:b/>
              </w:rPr>
            </w:pPr>
            <w:r>
              <w:rPr>
                <w:b/>
                <w:color w:val="303030"/>
              </w:rPr>
              <w:t xml:space="preserve">Please note:  </w:t>
            </w:r>
            <w:r>
              <w:rPr>
                <w:color w:val="303030"/>
              </w:rPr>
              <w:t>The above statements are intended to describe the general nature and level of the work being performed by people assigned to this work. This is not an exhaustive list of all duties and responsibilities. TPC management reserves the right to amend and change responsibilities to meet business and organisational needs as necessary.</w:t>
            </w:r>
          </w:p>
          <w:p w:rsidR="00D44699" w:rsidRPr="00D44699" w:rsidRDefault="00D44699">
            <w:pPr>
              <w:rPr>
                <w:b/>
              </w:rPr>
            </w:pPr>
          </w:p>
        </w:tc>
      </w:tr>
      <w:tr w:rsidR="00ED7319" w:rsidTr="00D44699">
        <w:tc>
          <w:tcPr>
            <w:tcW w:w="8755" w:type="dxa"/>
          </w:tcPr>
          <w:p w:rsidR="00ED7319" w:rsidRDefault="00ED7319">
            <w:pPr>
              <w:rPr>
                <w:b/>
              </w:rPr>
            </w:pPr>
            <w:r>
              <w:rPr>
                <w:b/>
              </w:rPr>
              <w:lastRenderedPageBreak/>
              <w:t>Consults with:</w:t>
            </w:r>
          </w:p>
          <w:p w:rsidR="00ED7319" w:rsidRDefault="00ED7319" w:rsidP="00ED7319">
            <w:pPr>
              <w:pStyle w:val="ListParagraph"/>
              <w:numPr>
                <w:ilvl w:val="0"/>
                <w:numId w:val="1"/>
              </w:numPr>
            </w:pPr>
            <w:r>
              <w:t>Directors</w:t>
            </w:r>
          </w:p>
          <w:p w:rsidR="00ED7319" w:rsidRDefault="00ED7319" w:rsidP="00ED7319">
            <w:pPr>
              <w:pStyle w:val="ListParagraph"/>
              <w:numPr>
                <w:ilvl w:val="0"/>
                <w:numId w:val="1"/>
              </w:numPr>
            </w:pPr>
            <w:r>
              <w:t>Operations Manager</w:t>
            </w:r>
          </w:p>
          <w:p w:rsidR="00ED7319" w:rsidRDefault="00ED7319" w:rsidP="00ED7319">
            <w:pPr>
              <w:pStyle w:val="ListParagraph"/>
              <w:numPr>
                <w:ilvl w:val="0"/>
                <w:numId w:val="1"/>
              </w:numPr>
            </w:pPr>
            <w:r>
              <w:t>Human Resources Manager</w:t>
            </w:r>
          </w:p>
          <w:p w:rsidR="00ED7319" w:rsidRDefault="00ED7319" w:rsidP="00ED7319">
            <w:pPr>
              <w:pStyle w:val="ListParagraph"/>
              <w:numPr>
                <w:ilvl w:val="0"/>
                <w:numId w:val="1"/>
              </w:numPr>
            </w:pPr>
            <w:r>
              <w:t>Support Workers</w:t>
            </w:r>
          </w:p>
          <w:p w:rsidR="00ED7319" w:rsidRDefault="00ED7319" w:rsidP="00ED7319">
            <w:pPr>
              <w:pStyle w:val="ListParagraph"/>
              <w:numPr>
                <w:ilvl w:val="0"/>
                <w:numId w:val="1"/>
              </w:numPr>
            </w:pPr>
            <w:r>
              <w:t xml:space="preserve">External agency and local authority staff </w:t>
            </w:r>
          </w:p>
          <w:p w:rsidR="00ED7319" w:rsidRPr="00ED7319" w:rsidRDefault="00ED7319" w:rsidP="00ED7319">
            <w:pPr>
              <w:pStyle w:val="ListParagraph"/>
              <w:numPr>
                <w:ilvl w:val="0"/>
                <w:numId w:val="1"/>
              </w:numPr>
            </w:pPr>
            <w:r>
              <w:t>Young People</w:t>
            </w:r>
          </w:p>
        </w:tc>
      </w:tr>
    </w:tbl>
    <w:p w:rsidR="003F0BE1" w:rsidRDefault="003F0BE1" w:rsidP="00971BBC"/>
    <w:sectPr w:rsidR="003F0BE1" w:rsidSect="00D44699">
      <w:head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37" w:rsidRDefault="00120237" w:rsidP="00D44699">
      <w:pPr>
        <w:spacing w:after="0" w:line="240" w:lineRule="auto"/>
      </w:pPr>
      <w:r>
        <w:separator/>
      </w:r>
    </w:p>
  </w:endnote>
  <w:endnote w:type="continuationSeparator" w:id="0">
    <w:p w:rsidR="00120237" w:rsidRDefault="00120237" w:rsidP="00D44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37" w:rsidRDefault="00120237" w:rsidP="00D44699">
      <w:pPr>
        <w:spacing w:after="0" w:line="240" w:lineRule="auto"/>
      </w:pPr>
      <w:r>
        <w:separator/>
      </w:r>
    </w:p>
  </w:footnote>
  <w:footnote w:type="continuationSeparator" w:id="0">
    <w:p w:rsidR="00120237" w:rsidRDefault="00120237" w:rsidP="00D44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99" w:rsidRPr="00D44699" w:rsidRDefault="00D44699" w:rsidP="00D44699">
    <w:pPr>
      <w:pStyle w:val="Header"/>
      <w:jc w:val="center"/>
      <w:rPr>
        <w:rFonts w:ascii="Arial" w:hAnsi="Arial" w:cs="Arial"/>
        <w:b/>
        <w:color w:val="4F81BD" w:themeColor="accent1"/>
      </w:rPr>
    </w:pPr>
    <w:r w:rsidRPr="00D44699">
      <w:rPr>
        <w:rFonts w:ascii="Arial" w:hAnsi="Arial" w:cs="Arial"/>
        <w:b/>
        <w:color w:val="4F81BD" w:themeColor="accent1"/>
      </w:rPr>
      <w:t xml:space="preserve">TRANSITIONAL PLUS CARE – JOB </w:t>
    </w:r>
    <w:r w:rsidR="003F0BE1">
      <w:rPr>
        <w:rFonts w:ascii="Arial" w:hAnsi="Arial" w:cs="Arial"/>
        <w:b/>
        <w:color w:val="4F81BD" w:themeColor="accent1"/>
      </w:rPr>
      <w:t xml:space="preserve">DESCRIPTION </w:t>
    </w:r>
  </w:p>
  <w:p w:rsidR="00D44699" w:rsidRPr="00D44699" w:rsidRDefault="00D44699">
    <w:pPr>
      <w:pStyle w:val="Header"/>
      <w:rPr>
        <w:b/>
        <w:color w:val="4F81BD" w:themeColor="accen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635E34"/>
    <w:multiLevelType w:val="hybridMultilevel"/>
    <w:tmpl w:val="95F45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5320241"/>
    <w:multiLevelType w:val="hybridMultilevel"/>
    <w:tmpl w:val="2CCE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44699"/>
    <w:rsid w:val="00073DF8"/>
    <w:rsid w:val="00075F26"/>
    <w:rsid w:val="00120237"/>
    <w:rsid w:val="00152CFE"/>
    <w:rsid w:val="00156DE2"/>
    <w:rsid w:val="002754A6"/>
    <w:rsid w:val="002C488E"/>
    <w:rsid w:val="003A43C7"/>
    <w:rsid w:val="003C2535"/>
    <w:rsid w:val="003F0BE1"/>
    <w:rsid w:val="004A79B5"/>
    <w:rsid w:val="004E4716"/>
    <w:rsid w:val="0052181D"/>
    <w:rsid w:val="005A1784"/>
    <w:rsid w:val="005C4CE5"/>
    <w:rsid w:val="005D5304"/>
    <w:rsid w:val="006C3674"/>
    <w:rsid w:val="006F0C36"/>
    <w:rsid w:val="007321E6"/>
    <w:rsid w:val="0073447D"/>
    <w:rsid w:val="00740D62"/>
    <w:rsid w:val="00772E7A"/>
    <w:rsid w:val="009124D7"/>
    <w:rsid w:val="00954532"/>
    <w:rsid w:val="00971BBC"/>
    <w:rsid w:val="00A34406"/>
    <w:rsid w:val="00A767A9"/>
    <w:rsid w:val="00B04108"/>
    <w:rsid w:val="00B6382B"/>
    <w:rsid w:val="00C85BE8"/>
    <w:rsid w:val="00D44699"/>
    <w:rsid w:val="00D567A7"/>
    <w:rsid w:val="00DB27DF"/>
    <w:rsid w:val="00E60E98"/>
    <w:rsid w:val="00ED7319"/>
    <w:rsid w:val="00EE552A"/>
    <w:rsid w:val="00FF5A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699"/>
  </w:style>
  <w:style w:type="paragraph" w:styleId="Footer">
    <w:name w:val="footer"/>
    <w:basedOn w:val="Normal"/>
    <w:link w:val="FooterChar"/>
    <w:uiPriority w:val="99"/>
    <w:semiHidden/>
    <w:unhideWhenUsed/>
    <w:rsid w:val="00D446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4699"/>
  </w:style>
  <w:style w:type="paragraph" w:styleId="BalloonText">
    <w:name w:val="Balloon Text"/>
    <w:basedOn w:val="Normal"/>
    <w:link w:val="BalloonTextChar"/>
    <w:uiPriority w:val="99"/>
    <w:semiHidden/>
    <w:unhideWhenUsed/>
    <w:rsid w:val="00D4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99"/>
    <w:rPr>
      <w:rFonts w:ascii="Tahoma" w:hAnsi="Tahoma" w:cs="Tahoma"/>
      <w:sz w:val="16"/>
      <w:szCs w:val="16"/>
    </w:rPr>
  </w:style>
  <w:style w:type="table" w:styleId="TableGrid">
    <w:name w:val="Table Grid"/>
    <w:basedOn w:val="TableNormal"/>
    <w:uiPriority w:val="59"/>
    <w:rsid w:val="00D44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4699"/>
    <w:rPr>
      <w:b/>
      <w:bCs/>
    </w:rPr>
  </w:style>
  <w:style w:type="paragraph" w:styleId="ListParagraph">
    <w:name w:val="List Paragraph"/>
    <w:basedOn w:val="Normal"/>
    <w:uiPriority w:val="34"/>
    <w:qFormat/>
    <w:rsid w:val="00ED7319"/>
    <w:pPr>
      <w:ind w:left="720"/>
      <w:contextualSpacing/>
    </w:pPr>
  </w:style>
  <w:style w:type="paragraph" w:customStyle="1" w:styleId="FreeForm">
    <w:name w:val="Free Form"/>
    <w:rsid w:val="006C3674"/>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C0B17-844C-4DED-B609-C96CB21C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TRANSITIONAL PLUS CARE – JOB SPECIFICATION</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PLUS CARE – JOB SPECIFICATION</dc:title>
  <dc:subject/>
  <dc:creator>user</dc:creator>
  <cp:keywords/>
  <dc:description/>
  <cp:lastModifiedBy>Sarah Leahair</cp:lastModifiedBy>
  <cp:revision>12</cp:revision>
  <cp:lastPrinted>2015-05-05T10:42:00Z</cp:lastPrinted>
  <dcterms:created xsi:type="dcterms:W3CDTF">2015-04-11T16:14:00Z</dcterms:created>
  <dcterms:modified xsi:type="dcterms:W3CDTF">2015-05-05T10:42:00Z</dcterms:modified>
</cp:coreProperties>
</file>